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after="200" w:line="276" w:lineRule="auto"/>
        <w:contextualSpacing w:val="0"/>
        <w:rPr>
          <w:b w:val="1"/>
          <w:sz w:val="22"/>
          <w:szCs w:val="22"/>
        </w:rPr>
      </w:pPr>
      <w:bookmarkStart w:colFirst="0" w:colLast="0" w:name="_yt40b74jafyx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6420.0" w:type="dxa"/>
        <w:jc w:val="left"/>
        <w:tblInd w:w="100.0" w:type="pct"/>
        <w:tblLayout w:type="fixed"/>
        <w:tblLook w:val="0600"/>
      </w:tblPr>
      <w:tblGrid>
        <w:gridCol w:w="945"/>
        <w:gridCol w:w="5475"/>
        <w:tblGridChange w:id="0">
          <w:tblGrid>
            <w:gridCol w:w="945"/>
            <w:gridCol w:w="5475"/>
          </w:tblGrid>
        </w:tblGridChange>
      </w:tblGrid>
      <w:tr>
        <w:trPr>
          <w:trHeight w:val="1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widowControl w:val="0"/>
              <w:spacing w:after="200" w:line="276" w:lineRule="auto"/>
              <w:contextualSpacing w:val="0"/>
              <w:rPr>
                <w:b w:val="1"/>
                <w:sz w:val="22"/>
                <w:szCs w:val="22"/>
              </w:rPr>
            </w:pPr>
            <w:bookmarkStart w:colFirst="0" w:colLast="0" w:name="_yt40b74jafyx" w:id="0"/>
            <w:bookmarkEnd w:id="0"/>
            <w:r w:rsidDel="00000000" w:rsidR="00000000" w:rsidRPr="00000000">
              <w:rPr>
                <w:b w:val="1"/>
                <w:sz w:val="22"/>
                <w:szCs w:val="22"/>
              </w:rPr>
              <w:drawing>
                <wp:inline distB="114300" distT="114300" distL="114300" distR="114300">
                  <wp:extent cx="307422" cy="657543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422" cy="6575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00" w:line="276" w:lineRule="auto"/>
              <w:contextualSpacing w:val="0"/>
              <w:rPr>
                <w:b w:val="1"/>
                <w:sz w:val="28"/>
                <w:szCs w:val="28"/>
              </w:rPr>
            </w:pPr>
            <w:bookmarkStart w:colFirst="0" w:colLast="0" w:name="_61udtehitzwd" w:id="1"/>
            <w:bookmarkEnd w:id="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Licenciatura en Ciencias c/m Matemáticas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200" w:line="276" w:lineRule="auto"/>
              <w:contextualSpacing w:val="0"/>
              <w:rPr>
                <w:b w:val="1"/>
                <w:sz w:val="28"/>
                <w:szCs w:val="28"/>
              </w:rPr>
            </w:pPr>
            <w:bookmarkStart w:colFirst="0" w:colLast="0" w:name="_mjgwh03wt4qr" w:id="2"/>
            <w:bookmarkEnd w:id="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Facultad de Ciencias - Universidad de Chile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center"/>
        <w:rPr>
          <w:b w:val="1"/>
          <w:sz w:val="22"/>
          <w:szCs w:val="22"/>
        </w:rPr>
      </w:pPr>
      <w:bookmarkStart w:colFirst="0" w:colLast="0" w:name="_gjdgxs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Programa del curso</w:t>
      </w:r>
    </w:p>
    <w:tbl>
      <w:tblPr>
        <w:tblStyle w:val="Table2"/>
        <w:tblW w:w="8849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949"/>
        <w:gridCol w:w="2949"/>
        <w:gridCol w:w="2951"/>
        <w:tblGridChange w:id="0">
          <w:tblGrid>
            <w:gridCol w:w="2949"/>
            <w:gridCol w:w="2949"/>
            <w:gridCol w:w="2951"/>
          </w:tblGrid>
        </w:tblGridChange>
      </w:tblGrid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Código: MC-410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Estructuras Algebraicas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Nombre en inglés: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Algebraic structures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Horas de cátedra: 4,5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Horas auxiliares: 3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Horas de dedicación personal </w:t>
            </w:r>
          </w:p>
        </w:tc>
      </w:tr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Pre-requisitos: Algebra y Geometría II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transferibles: 14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Metodología: Clases expositivas y de resolución de problemas.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Evaluación: Tres notas de cátedra y una de ayudantías.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Requisitos de aprobación: Obtener promedio ponderado superior o igual a 4.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Objetivo general:</w:t>
      </w:r>
      <w:r w:rsidDel="00000000" w:rsidR="00000000" w:rsidRPr="00000000">
        <w:rPr>
          <w:rtl w:val="0"/>
        </w:rPr>
        <w:t xml:space="preserve"> Introducir y estudiar tres conceptos básicos del Algebra; grupos, anillos y cuerpos. En particular se pretende que el/la alumno/a conozca las propiedades más importantes de estos objetos y de las funciones entre ellos que preservan la estructura correspondiente.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Objetivos específicos:</w:t>
      </w:r>
      <w:r w:rsidDel="00000000" w:rsidR="00000000" w:rsidRPr="00000000">
        <w:rPr>
          <w:rtl w:val="0"/>
        </w:rPr>
        <w:t xml:space="preserve"> Conocer las propiedades elementales de grupos, anillos y cuerpos. Conocer y manipular las correspondientes subestructuras, cuocientes y homomorfismos. Familiarizarse con una variedad de ejemplos y situaciones matemáticas concretas donde estas estructuras algebraicas juegan un rol importante.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Palabras clave:</w:t>
      </w:r>
      <w:r w:rsidDel="00000000" w:rsidR="00000000" w:rsidRPr="00000000">
        <w:rPr>
          <w:rtl w:val="0"/>
        </w:rPr>
        <w:t xml:space="preserve"> Grupo, anillo, cuerpo, homomorfismo, cuocientes.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contextualSpacing w:val="0"/>
        <w:jc w:val="both"/>
        <w:rPr/>
      </w:pPr>
      <w:r w:rsidDel="00000000" w:rsidR="00000000" w:rsidRPr="00000000">
        <w:rPr>
          <w:b w:val="1"/>
          <w:rtl w:val="0"/>
        </w:rPr>
        <w:t xml:space="preserve">Contenidos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Grupos.</w:t>
      </w:r>
      <w:r w:rsidDel="00000000" w:rsidR="00000000" w:rsidRPr="00000000">
        <w:rPr>
          <w:rtl w:val="0"/>
        </w:rPr>
        <w:t xml:space="preserve"> Definición y ejemplos de grupos. Subgrupos, Teorema de Lagrange. Subgrupos normales y cuocientes. Homomorfismos de grupos. Teoremas de isomorfía. Productos de grupos. Acciones de grupos sobre conjuntos, fórmula de Pólya.  Grupos de permutaciones. Grupos de simetrías.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0" w:firstLine="0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Anillos: </w:t>
      </w:r>
      <w:r w:rsidDel="00000000" w:rsidR="00000000" w:rsidRPr="00000000">
        <w:rPr>
          <w:rtl w:val="0"/>
        </w:rPr>
        <w:t xml:space="preserve">Definición y ejemplos. Subanillos e ideales. Cuocientes y homomorfismos. Productos de anillos. Anillos de matrices. Anillos conmutativos. Ideales primos y maximales. Teorema Chino de los Restos. Dominios de integridad y cuerpo de cocientes. Anillos de polinomios con coeficientes en un cuerpo. Dominios Euclidianos. Dominios de ideales principales. Factorización en dominios de ideales principales.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Cuerpos: </w:t>
      </w:r>
      <w:r w:rsidDel="00000000" w:rsidR="00000000" w:rsidRPr="00000000">
        <w:rPr>
          <w:rtl w:val="0"/>
        </w:rPr>
        <w:t xml:space="preserve">Extensiones. Extensiones finitas, grado.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Construcciones con regla y compás. Extensiones algebraicas. Raíces de polinomios, adjunción de raices. Clausura algebraica, existencia. Cuerpos finitos. Unicidad de los cuerpos finitos.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Bibliografía obligatoria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b w:val="1"/>
          <w:rtl w:val="0"/>
        </w:rPr>
        <w:t xml:space="preserve">Bibliografía complementaria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 ·       I.N. Herstein, </w:t>
      </w:r>
      <w:r w:rsidDel="00000000" w:rsidR="00000000" w:rsidRPr="00000000">
        <w:rPr>
          <w:i w:val="1"/>
          <w:rtl w:val="0"/>
        </w:rPr>
        <w:t xml:space="preserve">Topics in Algebra.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·       I.N. Herstein, </w:t>
      </w:r>
      <w:r w:rsidDel="00000000" w:rsidR="00000000" w:rsidRPr="00000000">
        <w:rPr>
          <w:i w:val="1"/>
          <w:rtl w:val="0"/>
        </w:rPr>
        <w:t xml:space="preserve">Abstract Algebra.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/>
      </w:pPr>
      <w:r w:rsidDel="00000000" w:rsidR="00000000" w:rsidRPr="00000000">
        <w:rPr>
          <w:rtl w:val="0"/>
        </w:rPr>
        <w:t xml:space="preserve">·       M. Artin, </w:t>
      </w:r>
      <w:r w:rsidDel="00000000" w:rsidR="00000000" w:rsidRPr="00000000">
        <w:rPr>
          <w:i w:val="1"/>
          <w:rtl w:val="0"/>
        </w:rPr>
        <w:t xml:space="preserve">Algebra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>
          <w:i w:val="1"/>
        </w:rPr>
      </w:pPr>
      <w:r w:rsidDel="00000000" w:rsidR="00000000" w:rsidRPr="00000000">
        <w:rPr>
          <w:rtl w:val="0"/>
        </w:rPr>
        <w:t xml:space="preserve">·       D. Dummit and R. Foote, </w:t>
      </w:r>
      <w:r w:rsidDel="00000000" w:rsidR="00000000" w:rsidRPr="00000000">
        <w:rPr>
          <w:i w:val="1"/>
          <w:rtl w:val="0"/>
        </w:rPr>
        <w:t xml:space="preserve">Abstract algebra.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/>
      </w:pPr>
      <w:r w:rsidDel="00000000" w:rsidR="00000000" w:rsidRPr="00000000">
        <w:rPr>
          <w:rtl w:val="0"/>
        </w:rPr>
        <w:t xml:space="preserve">·       B.L. Van der Waerden, </w:t>
      </w:r>
      <w:r w:rsidDel="00000000" w:rsidR="00000000" w:rsidRPr="00000000">
        <w:rPr>
          <w:i w:val="1"/>
          <w:rtl w:val="0"/>
        </w:rPr>
        <w:t xml:space="preserve">Algebra, </w:t>
      </w:r>
      <w:r w:rsidDel="00000000" w:rsidR="00000000" w:rsidRPr="00000000">
        <w:rPr>
          <w:rtl w:val="0"/>
        </w:rPr>
        <w:t xml:space="preserve">(Vol. I  y II).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1460" w:hanging="360"/>
        <w:contextualSpacing w:val="0"/>
        <w:rPr/>
      </w:pPr>
      <w:r w:rsidDel="00000000" w:rsidR="00000000" w:rsidRPr="00000000">
        <w:rPr>
          <w:rtl w:val="0"/>
        </w:rPr>
        <w:t xml:space="preserve">·       L. Arenas-Carmona, </w:t>
      </w:r>
      <w:r w:rsidDel="00000000" w:rsidR="00000000" w:rsidRPr="00000000">
        <w:rPr>
          <w:i w:val="1"/>
          <w:rtl w:val="0"/>
        </w:rPr>
        <w:t xml:space="preserve">Anillos y Cuerpos </w:t>
      </w:r>
      <w:r w:rsidDel="00000000" w:rsidR="00000000" w:rsidRPr="00000000">
        <w:rPr>
          <w:rtl w:val="0"/>
        </w:rPr>
        <w:t xml:space="preserve">(apuntes del departamento).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065" w:firstLine="0"/>
        <w:contextualSpacing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13322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